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  <w:rPr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3670b3"/>
          <w:u w:color="124f1a"/>
          <w14:textFill>
            <w14:solidFill>
              <w14:srgbClr w14:val="3771B3"/>
            </w14:solidFill>
          </w14:textFill>
        </w:rPr>
      </w:pPr>
      <w:r>
        <w:rPr>
          <w:b w:val="1"/>
          <w:bCs w:val="1"/>
          <w:outline w:val="0"/>
          <w:color w:val="3670b3"/>
          <w:u w:color="124f1a"/>
          <w:rtl w:val="0"/>
          <w:lang w:val="en-US"/>
          <w14:textFill>
            <w14:solidFill>
              <w14:srgbClr w14:val="3771B3"/>
            </w14:solidFill>
          </w14:textFill>
        </w:rPr>
        <w:t>How to Support Medicare Funding for Life-Saving Trans Health Services</w:t>
      </w:r>
    </w:p>
    <w:p>
      <w:pPr>
        <w:pStyle w:val="Body"/>
      </w:pPr>
      <w:r>
        <w:rPr>
          <w:rtl w:val="0"/>
          <w:lang w:val="en-US"/>
        </w:rPr>
        <w:t>The Medical Services Advisory Committee (MSAC) is reviewing Application 1754, which seeks to provide Medicare funding for critical health services that support the wellbeing of trans people. This is a historic opportunity to address financial and systemic barriers to care and ensure equitable access to life-saving, gender-affirming treatments.</w:t>
      </w:r>
    </w:p>
    <w:p>
      <w:pPr>
        <w:pStyle w:val="Body"/>
        <w:rPr>
          <w:rFonts w:ascii="Aptos" w:cs="Aptos" w:hAnsi="Aptos" w:eastAsia="Aptos"/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  <w:r>
        <w:rPr>
          <w:b w:val="1"/>
          <w:bCs w:val="1"/>
          <w:outline w:val="0"/>
          <w:color w:val="3670b3"/>
          <w:u w:color="124f1a"/>
          <w:rtl w:val="0"/>
          <w:lang w:val="en-US"/>
          <w14:textFill>
            <w14:solidFill>
              <w14:srgbClr w14:val="3771B3"/>
            </w14:solidFill>
          </w14:textFill>
        </w:rPr>
        <w:t>What is MSAC?</w:t>
      </w:r>
    </w:p>
    <w:p>
      <w:pPr>
        <w:pStyle w:val="Body"/>
      </w:pPr>
      <w:r>
        <w:rPr>
          <w:rtl w:val="0"/>
          <w:lang w:val="en-US"/>
        </w:rPr>
        <w:t>MSAC advises the Australian Government on which medical services should be funded by Medicare. Submissions from the community play a vital role in shaping their recommendations. By sharing your story, you can help demonstrate the urgent need for these services.</w:t>
      </w:r>
    </w:p>
    <w:p>
      <w:pPr>
        <w:pStyle w:val="Body"/>
        <w:rPr>
          <w:rFonts w:ascii="Aptos" w:cs="Aptos" w:hAnsi="Aptos" w:eastAsia="Aptos"/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  <w:r>
        <w:rPr>
          <w:b w:val="1"/>
          <w:bCs w:val="1"/>
          <w:outline w:val="0"/>
          <w:color w:val="3670b3"/>
          <w:u w:color="124f1a"/>
          <w:rtl w:val="0"/>
          <w:lang w:val="en-US"/>
          <w14:textFill>
            <w14:solidFill>
              <w14:srgbClr w14:val="3771B3"/>
            </w14:solidFill>
          </w14:textFill>
        </w:rPr>
        <w:t>What is Application 1754?</w:t>
      </w:r>
    </w:p>
    <w:p>
      <w:pPr>
        <w:pStyle w:val="Body"/>
      </w:pPr>
      <w:r>
        <w:rPr>
          <w:rtl w:val="0"/>
          <w:lang w:val="en-US"/>
        </w:rPr>
        <w:t>Application 1754 proposes Medicare funding for a set of gender-affirming medical services. These services are life-changing and, in many cases, life-saving. Currently, the lack of Medicare funding creates significant financial barriers, preventing many trans people from accessing the care they need.</w:t>
      </w:r>
    </w:p>
    <w:p>
      <w:pPr>
        <w:pStyle w:val="Body"/>
        <w:rPr>
          <w:rFonts w:ascii="Aptos" w:cs="Aptos" w:hAnsi="Aptos" w:eastAsia="Aptos"/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  <w:r>
        <w:rPr>
          <w:b w:val="1"/>
          <w:bCs w:val="1"/>
          <w:outline w:val="0"/>
          <w:color w:val="3670b3"/>
          <w:u w:color="124f1a"/>
          <w:rtl w:val="0"/>
          <w:lang w:val="en-US"/>
          <w14:textFill>
            <w14:solidFill>
              <w14:srgbClr w14:val="3771B3"/>
            </w14:solidFill>
          </w14:textFill>
        </w:rPr>
        <w:t>Why Your Voice Matters</w:t>
      </w:r>
    </w:p>
    <w:p>
      <w:pPr>
        <w:pStyle w:val="Body"/>
      </w:pPr>
      <w:r>
        <w:rPr>
          <w:rtl w:val="0"/>
          <w:lang w:val="en-US"/>
        </w:rPr>
        <w:t>Your story can help MSAC understand the human impact of their decision. Powerful, personal accounts can illustrate: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financial, emotional, and physical toll of inaccessible healthcare.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transformative impact of receiving gender-affirming care.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need for equitable access to care that upholds the dignity and wellbeing of trans people.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  <w:br w:type="page"/>
      </w:r>
    </w:p>
    <w:p>
      <w:pPr>
        <w:pStyle w:val="Body"/>
        <w:rPr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</w:p>
    <w:p>
      <w:pPr>
        <w:pStyle w:val="Body"/>
        <w:rPr>
          <w:rFonts w:ascii="Aptos" w:cs="Aptos" w:hAnsi="Aptos" w:eastAsia="Aptos"/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  <w:r>
        <w:rPr>
          <w:b w:val="1"/>
          <w:bCs w:val="1"/>
          <w:outline w:val="0"/>
          <w:color w:val="3670b3"/>
          <w:u w:color="124f1a"/>
          <w:rtl w:val="0"/>
          <w:lang w:val="en-US"/>
          <w14:textFill>
            <w14:solidFill>
              <w14:srgbClr w14:val="3771B3"/>
            </w14:solidFill>
          </w14:textFill>
        </w:rPr>
        <w:t>How to Write an Impactful Submission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Start with Your Story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Describe who you are and your connection to gender-affirming care.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Share how access (or lack of access) has impacted your life or the lives of those you love.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Focus on the Key Points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Emphasise the importance of Medicare funding for trans health services.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Highlight how funding would improve health outcomes, reduce distress, and save lives.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Include a Powerful Quote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Example: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Gender-affirming care saved my life. Without it, I would not be here today. Medicare funding would mean no one has to face the pain of being unable to afford the care they need.</w:t>
      </w:r>
      <w:r>
        <w:rPr>
          <w:rtl w:val="0"/>
          <w:lang w:val="en-US"/>
        </w:rPr>
        <w:t>”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End with a Call to Action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Urge MSAC to prioritise funding for these vital services to improve the health and dignity of trans people across Australia.</w:t>
      </w:r>
    </w:p>
    <w:p>
      <w:pPr>
        <w:pStyle w:val="Body"/>
        <w:rPr>
          <w:rFonts w:ascii="Aptos" w:cs="Aptos" w:hAnsi="Aptos" w:eastAsia="Aptos"/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  <w:r>
        <w:rPr>
          <w:b w:val="1"/>
          <w:bCs w:val="1"/>
          <w:outline w:val="0"/>
          <w:color w:val="3670b3"/>
          <w:u w:color="124f1a"/>
          <w:rtl w:val="0"/>
          <w:lang w:val="en-US"/>
          <w14:textFill>
            <w14:solidFill>
              <w14:srgbClr w14:val="3771B3"/>
            </w14:solidFill>
          </w14:textFill>
        </w:rPr>
        <w:t>Submission Details</w:t>
      </w:r>
    </w:p>
    <w:p>
      <w:pPr>
        <w:pStyle w:val="Body"/>
      </w:pPr>
      <w:r>
        <w:rPr>
          <w:rtl w:val="0"/>
          <w:lang w:val="en-US"/>
        </w:rPr>
        <w:t xml:space="preserve">The Deadline for submission is </w:t>
      </w:r>
      <w:r>
        <w:rPr>
          <w:b w:val="1"/>
          <w:bCs w:val="1"/>
          <w:rtl w:val="0"/>
          <w:lang w:val="en-US"/>
        </w:rPr>
        <w:t>11:59PM,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Friday 14th February</w:t>
      </w:r>
      <w:r>
        <w:rPr>
          <w:rtl w:val="0"/>
          <w:lang w:val="en-US"/>
        </w:rPr>
        <w:t xml:space="preserve">. To have your say on MSAC 1754, visit: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"https://www.msac.gov.au/applications/1754"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https://www.msac.gov.au/applications/1754</w:t>
      </w:r>
      <w:r>
        <w:rPr/>
        <w:fldChar w:fldCharType="end" w:fldLock="0"/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and scroll down to </w:t>
      </w:r>
      <w:r>
        <w:rPr>
          <w:b w:val="1"/>
          <w:bCs w:val="1"/>
          <w:rtl w:val="0"/>
          <w:lang w:val="en-US"/>
        </w:rPr>
        <w:t>Provide your input online</w:t>
      </w:r>
      <w:r>
        <w:rPr>
          <w:rtl w:val="0"/>
          <w:lang w:val="en-US"/>
        </w:rPr>
        <w:t>.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If you need support or inspiration, </w:t>
      </w:r>
      <w:r>
        <w:rPr>
          <w:rtl w:val="0"/>
          <w:lang w:val="en-US"/>
        </w:rPr>
        <w:t xml:space="preserve">to write a strong response, </w:t>
      </w:r>
      <w:r>
        <w:rPr>
          <w:rtl w:val="0"/>
          <w:lang w:val="en-US"/>
        </w:rPr>
        <w:t xml:space="preserve">explore our examples and tips </w:t>
      </w:r>
      <w:r>
        <w:rPr>
          <w:rtl w:val="0"/>
          <w:lang w:val="en-US"/>
        </w:rPr>
        <w:t xml:space="preserve">in PART TWO </w:t>
      </w:r>
      <w:r>
        <w:rPr>
          <w:i w:val="1"/>
          <w:iCs w:val="1"/>
          <w:rtl w:val="0"/>
          <w:lang w:val="en-US"/>
        </w:rPr>
        <w:t>How to write a powerful response</w:t>
      </w:r>
      <w:r>
        <w:rPr>
          <w:rtl w:val="0"/>
        </w:rPr>
        <w:t>.</w:t>
      </w:r>
    </w:p>
    <w:p>
      <w:pPr>
        <w:pStyle w:val="Body"/>
        <w:rPr>
          <w:rFonts w:ascii="Aptos" w:cs="Aptos" w:hAnsi="Aptos" w:eastAsia="Aptos"/>
          <w:b w:val="1"/>
          <w:bCs w:val="1"/>
          <w:outline w:val="0"/>
          <w:color w:val="124f1a"/>
          <w:u w:color="124f1a"/>
          <w14:textFill>
            <w14:solidFill>
              <w14:srgbClr w14:val="124F1A"/>
            </w14:solidFill>
          </w14:textFill>
        </w:rPr>
      </w:pPr>
      <w:r>
        <w:rPr>
          <w:b w:val="1"/>
          <w:bCs w:val="1"/>
          <w:outline w:val="0"/>
          <w:color w:val="3670b3"/>
          <w:u w:color="124f1a"/>
          <w:rtl w:val="0"/>
          <w:lang w:val="en-US"/>
          <w14:textFill>
            <w14:solidFill>
              <w14:srgbClr w14:val="3771B3"/>
            </w14:solidFill>
          </w14:textFill>
        </w:rPr>
        <w:t>Remember: Your Voice Can Create Change</w:t>
      </w:r>
    </w:p>
    <w:p>
      <w:pPr>
        <w:pStyle w:val="Body"/>
      </w:pPr>
      <w:r>
        <w:rPr>
          <w:rtl w:val="0"/>
          <w:lang w:val="en-US"/>
        </w:rPr>
        <w:t>Speak from the heart, let MSAC hear the real, human stories behind the need for Medicare funding. Together, we can ensure equitable access to gender-affirming care for all trans people.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inline distT="0" distB="0" distL="0" distR="0">
          <wp:extent cx="4572000" cy="923417"/>
          <wp:effectExtent l="0" t="0" r="0" b="0"/>
          <wp:docPr id="1073741825" name="officeArt object" descr="A black and grey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and grey logoDescription automatically generated with medium confidence" descr="A black and grey logo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234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5317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